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F2" w:rsidRDefault="008A22D9" w:rsidP="00742349">
      <w:pPr>
        <w:spacing w:after="0" w:line="240" w:lineRule="auto"/>
        <w:ind w:left="-709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82532D">
        <w:rPr>
          <w:rFonts w:ascii="Arial" w:hAnsi="Arial" w:cs="Arial"/>
          <w:b/>
          <w:sz w:val="20"/>
          <w:szCs w:val="20"/>
        </w:rPr>
        <w:t xml:space="preserve">. </w:t>
      </w:r>
      <w:r w:rsidR="005672F2">
        <w:rPr>
          <w:rFonts w:ascii="Arial" w:hAnsi="Arial" w:cs="Arial"/>
          <w:b/>
          <w:sz w:val="20"/>
          <w:szCs w:val="20"/>
        </w:rPr>
        <w:t>POSEBNI IZVJEŠTAJI</w:t>
      </w:r>
      <w:r w:rsidR="00356AAC">
        <w:rPr>
          <w:rFonts w:ascii="Arial" w:hAnsi="Arial" w:cs="Arial"/>
          <w:b/>
          <w:sz w:val="20"/>
          <w:szCs w:val="20"/>
        </w:rPr>
        <w:t xml:space="preserve"> U GODIŠNJEM IZVJEŠTAJU O IZVRŠENJU PRORAČUNA</w:t>
      </w:r>
    </w:p>
    <w:p w:rsidR="005672F2" w:rsidRDefault="005672F2" w:rsidP="00742349">
      <w:pPr>
        <w:spacing w:after="0" w:line="240" w:lineRule="auto"/>
        <w:ind w:left="-709" w:firstLine="708"/>
        <w:jc w:val="both"/>
        <w:rPr>
          <w:rFonts w:ascii="Arial" w:hAnsi="Arial" w:cs="Arial"/>
          <w:b/>
          <w:sz w:val="20"/>
          <w:szCs w:val="20"/>
        </w:rPr>
      </w:pPr>
    </w:p>
    <w:p w:rsidR="00806D25" w:rsidRDefault="00806D25" w:rsidP="008A22D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</w:t>
      </w:r>
      <w:r w:rsidR="00430769">
        <w:rPr>
          <w:rFonts w:ascii="Arial" w:hAnsi="Arial" w:cs="Arial"/>
          <w:b/>
          <w:sz w:val="20"/>
          <w:szCs w:val="20"/>
        </w:rPr>
        <w:t xml:space="preserve"> KORIŠTENJU PRORAČUNSKE ZALIHE </w:t>
      </w:r>
    </w:p>
    <w:p w:rsidR="001D20E1" w:rsidRDefault="001D20E1" w:rsidP="00A930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D25" w:rsidRDefault="00806D25" w:rsidP="001D20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Korištenje proračunske zalihe propisano je odredbama Zakona o proračunu (N</w:t>
      </w:r>
      <w:r w:rsidR="00A9306F">
        <w:rPr>
          <w:rFonts w:ascii="Arial" w:hAnsi="Arial" w:cs="Arial"/>
          <w:sz w:val="20"/>
          <w:szCs w:val="20"/>
        </w:rPr>
        <w:t>arodne novine</w:t>
      </w:r>
      <w:r>
        <w:rPr>
          <w:rFonts w:ascii="Arial" w:hAnsi="Arial" w:cs="Arial"/>
          <w:sz w:val="20"/>
          <w:szCs w:val="20"/>
        </w:rPr>
        <w:t xml:space="preserve"> 144/21) i Odlukom o izvršavanju </w:t>
      </w:r>
      <w:r w:rsidR="00A9306F">
        <w:rPr>
          <w:rFonts w:ascii="Arial" w:hAnsi="Arial" w:cs="Arial"/>
          <w:sz w:val="20"/>
          <w:szCs w:val="20"/>
        </w:rPr>
        <w:t>Proračuna Grada Zagreba za 2023. (Službeni glasnik 39/22</w:t>
      </w:r>
      <w:r w:rsidR="00804245">
        <w:rPr>
          <w:rFonts w:ascii="Arial" w:hAnsi="Arial" w:cs="Arial"/>
          <w:sz w:val="20"/>
          <w:szCs w:val="20"/>
        </w:rPr>
        <w:t xml:space="preserve"> i</w:t>
      </w:r>
      <w:r w:rsidR="00AE7B0C">
        <w:rPr>
          <w:rFonts w:ascii="Arial" w:hAnsi="Arial" w:cs="Arial"/>
          <w:sz w:val="20"/>
          <w:szCs w:val="20"/>
        </w:rPr>
        <w:t xml:space="preserve"> 41/23</w:t>
      </w:r>
      <w:r w:rsidR="00804245">
        <w:rPr>
          <w:rFonts w:ascii="Arial" w:hAnsi="Arial" w:cs="Arial"/>
          <w:sz w:val="20"/>
          <w:szCs w:val="20"/>
        </w:rPr>
        <w:t xml:space="preserve"> </w:t>
      </w:r>
      <w:r w:rsidR="00A9306F">
        <w:rPr>
          <w:rFonts w:ascii="Arial" w:hAnsi="Arial" w:cs="Arial"/>
          <w:sz w:val="20"/>
          <w:szCs w:val="20"/>
        </w:rPr>
        <w:t>).</w:t>
      </w:r>
    </w:p>
    <w:p w:rsidR="00F07623" w:rsidRDefault="00F07623" w:rsidP="00A930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06F" w:rsidRDefault="00A9306F" w:rsidP="001D20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Odredbama članka 65. Zakona o proračunu propisano je da se sredstva proračunske zalihe koriste za financiranje rashoda nastalih pri otklanjanju posljedica elementarnih nepogoda, epidemija, ekoloških i ostalih nepredviđenih nesreća, odnosno  izvanrednih događaja tijekom godine.</w:t>
      </w:r>
    </w:p>
    <w:p w:rsidR="00A9306F" w:rsidRDefault="00A9306F" w:rsidP="00A930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2F00" w:rsidRDefault="00932F00" w:rsidP="001D20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Člankom </w:t>
      </w:r>
      <w:r w:rsidR="008D0A71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. Odluke o izvršavanju Proračuna Grada Zagreba za 2023. propisan je iznos proračunske zalihe u visi od </w:t>
      </w:r>
      <w:r w:rsidR="008D0A71">
        <w:rPr>
          <w:rFonts w:ascii="Arial" w:hAnsi="Arial" w:cs="Arial"/>
          <w:sz w:val="20"/>
          <w:szCs w:val="20"/>
        </w:rPr>
        <w:t>664.000,00 eura.</w:t>
      </w:r>
    </w:p>
    <w:p w:rsidR="00356AAC" w:rsidRDefault="00356AAC" w:rsidP="001D20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A71" w:rsidRDefault="00356AAC" w:rsidP="00356A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Sadržaj Izvještaja o korištenju proračunske zalihe propisan je člankom 24. Pravilnika o polugodišnjem i godišnjem izvještaju o izvršenju proračuna i financijskog plana (Narodne novine 85/23).</w:t>
      </w:r>
    </w:p>
    <w:p w:rsidR="00356AAC" w:rsidRDefault="00356AAC" w:rsidP="00356A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Izvještaj o korištenju proračunske zalihe </w:t>
      </w:r>
      <w:r w:rsidR="00455627">
        <w:rPr>
          <w:rFonts w:ascii="Arial" w:hAnsi="Arial" w:cs="Arial"/>
          <w:sz w:val="20"/>
          <w:szCs w:val="20"/>
        </w:rPr>
        <w:t>sadrži podatke o donositelju odluke odnosno rješenja o korištenju proračunske zalihe, primatelju sredstava utvrđenom odlukom odnosno rješenjem, namjeni korištenja, svoti i datumu isplaćenih sredstava.</w:t>
      </w:r>
    </w:p>
    <w:p w:rsidR="00455627" w:rsidRDefault="00455627" w:rsidP="00356A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A71" w:rsidRDefault="00A51C46" w:rsidP="001D20E1">
      <w:pPr>
        <w:tabs>
          <w:tab w:val="center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nastavku se daje tablica s pregledom korištenja sred</w:t>
      </w:r>
      <w:r w:rsidR="00D62EF3">
        <w:rPr>
          <w:rFonts w:ascii="Arial" w:hAnsi="Arial" w:cs="Arial"/>
          <w:sz w:val="20"/>
          <w:szCs w:val="20"/>
        </w:rPr>
        <w:t>stava proračunske zalihe</w:t>
      </w:r>
      <w:r w:rsidR="001D20E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C84E9E" w:rsidRDefault="00C84E9E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4E9E" w:rsidRDefault="00393FC8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93FC8">
        <w:drawing>
          <wp:inline distT="0" distB="0" distL="0" distR="0">
            <wp:extent cx="5857875" cy="9962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238" cy="101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9E" w:rsidRDefault="00C84E9E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4E9E" w:rsidRDefault="00C84E9E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4E9E" w:rsidRDefault="00C84E9E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4E9E" w:rsidRDefault="00C84E9E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84E9E" w:rsidRDefault="00C84E9E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4E9E" w:rsidRDefault="00C84E9E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4E9E" w:rsidRDefault="00C84E9E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4E9E" w:rsidRDefault="00C84E9E" w:rsidP="00D62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2F00" w:rsidRPr="00806D25" w:rsidRDefault="00932F00" w:rsidP="00A930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32F00" w:rsidRPr="0080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25"/>
    <w:rsid w:val="000012C6"/>
    <w:rsid w:val="00067C73"/>
    <w:rsid w:val="001D20E1"/>
    <w:rsid w:val="00356AAC"/>
    <w:rsid w:val="00393FC8"/>
    <w:rsid w:val="00415080"/>
    <w:rsid w:val="00430769"/>
    <w:rsid w:val="00455627"/>
    <w:rsid w:val="005672F2"/>
    <w:rsid w:val="006F7C76"/>
    <w:rsid w:val="00742349"/>
    <w:rsid w:val="00804245"/>
    <w:rsid w:val="00806D25"/>
    <w:rsid w:val="0082532D"/>
    <w:rsid w:val="008A22D9"/>
    <w:rsid w:val="008D0A71"/>
    <w:rsid w:val="009029B2"/>
    <w:rsid w:val="00932F00"/>
    <w:rsid w:val="00A51C46"/>
    <w:rsid w:val="00A9306F"/>
    <w:rsid w:val="00AE7B0C"/>
    <w:rsid w:val="00B25739"/>
    <w:rsid w:val="00C84E9E"/>
    <w:rsid w:val="00D62EF3"/>
    <w:rsid w:val="00E21D05"/>
    <w:rsid w:val="00F0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F6EB8-CEAF-49CC-B72B-6F6F677B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Petković</dc:creator>
  <cp:keywords/>
  <dc:description/>
  <cp:lastModifiedBy>Kristina Petković</cp:lastModifiedBy>
  <cp:revision>12</cp:revision>
  <dcterms:created xsi:type="dcterms:W3CDTF">2024-03-11T08:44:00Z</dcterms:created>
  <dcterms:modified xsi:type="dcterms:W3CDTF">2024-04-16T11:57:00Z</dcterms:modified>
</cp:coreProperties>
</file>